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29B8" w14:textId="77777777" w:rsidR="00F074AB" w:rsidRDefault="00F074AB" w:rsidP="00F074AB">
      <w:pPr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  <w:r>
        <w:rPr>
          <w:rFonts w:ascii="Garamond" w:hAnsi="Garamond"/>
          <w:b/>
          <w:noProof/>
          <w:color w:val="3E4648"/>
          <w:sz w:val="27"/>
          <w:szCs w:val="27"/>
          <w:shd w:val="clear" w:color="auto" w:fill="FEFEFE"/>
        </w:rPr>
        <w:drawing>
          <wp:inline distT="0" distB="0" distL="0" distR="0" wp14:anchorId="258CC72E" wp14:editId="24C1E716">
            <wp:extent cx="1913102" cy="13525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CO ACRONIM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806" cy="13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3E4648"/>
          <w:sz w:val="27"/>
          <w:szCs w:val="27"/>
          <w:shd w:val="clear" w:color="auto" w:fill="FEFEFE"/>
        </w:rPr>
        <w:t xml:space="preserve">                                   </w:t>
      </w:r>
      <w:r>
        <w:rPr>
          <w:rFonts w:ascii="Garamond" w:hAnsi="Garamond"/>
          <w:b/>
          <w:noProof/>
          <w:color w:val="3E4648"/>
          <w:sz w:val="27"/>
          <w:szCs w:val="27"/>
          <w:shd w:val="clear" w:color="auto" w:fill="FEFEFE"/>
        </w:rPr>
        <w:drawing>
          <wp:inline distT="0" distB="0" distL="0" distR="0" wp14:anchorId="3DCAF363" wp14:editId="2DE7DFE1">
            <wp:extent cx="2524539" cy="12982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L1riga_b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539" cy="12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32F6" w14:textId="77777777" w:rsidR="00F074AB" w:rsidRDefault="00F074AB" w:rsidP="00F074AB">
      <w:pPr>
        <w:jc w:val="right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</w:p>
    <w:p w14:paraId="45ECED45" w14:textId="77777777" w:rsidR="00F074AB" w:rsidRDefault="00F074AB" w:rsidP="00F074AB">
      <w:pPr>
        <w:jc w:val="right"/>
        <w:rPr>
          <w:rFonts w:ascii="Garamond" w:hAnsi="Garamond"/>
          <w:b/>
          <w:color w:val="3E4648"/>
          <w:sz w:val="27"/>
          <w:szCs w:val="27"/>
          <w:shd w:val="clear" w:color="auto" w:fill="FEFEFE"/>
        </w:rPr>
      </w:pPr>
    </w:p>
    <w:p w14:paraId="2D574B1B" w14:textId="77777777" w:rsidR="00F074AB" w:rsidRPr="00284D22" w:rsidRDefault="00F074AB" w:rsidP="00F074AB">
      <w:pPr>
        <w:jc w:val="center"/>
        <w:rPr>
          <w:rFonts w:ascii="Georgia" w:hAnsi="Georgia"/>
          <w:b/>
          <w:color w:val="3E4648"/>
          <w:sz w:val="27"/>
          <w:szCs w:val="27"/>
          <w:shd w:val="clear" w:color="auto" w:fill="FEFEFE"/>
        </w:rPr>
      </w:pPr>
      <w:r w:rsidRPr="00284D22">
        <w:rPr>
          <w:rFonts w:ascii="Georgia" w:hAnsi="Georgia"/>
          <w:b/>
          <w:color w:val="3E4648"/>
          <w:sz w:val="27"/>
          <w:szCs w:val="27"/>
          <w:shd w:val="clear" w:color="auto" w:fill="FEFEFE"/>
        </w:rPr>
        <w:t xml:space="preserve">Firmato l’accordo quadro tra il Parco archeologico del Colosseo </w:t>
      </w:r>
    </w:p>
    <w:p w14:paraId="08E918E3" w14:textId="77777777" w:rsidR="00F074AB" w:rsidRPr="00284D22" w:rsidRDefault="00F074AB" w:rsidP="00F074AB">
      <w:pPr>
        <w:jc w:val="center"/>
        <w:rPr>
          <w:rFonts w:ascii="Georgia" w:hAnsi="Georgia"/>
          <w:b/>
          <w:color w:val="3E4648"/>
          <w:sz w:val="27"/>
          <w:szCs w:val="27"/>
          <w:shd w:val="clear" w:color="auto" w:fill="FEFEFE"/>
        </w:rPr>
      </w:pPr>
      <w:r w:rsidRPr="00284D22">
        <w:rPr>
          <w:rFonts w:ascii="Georgia" w:hAnsi="Georgia"/>
          <w:b/>
          <w:color w:val="3E4648"/>
          <w:sz w:val="27"/>
          <w:szCs w:val="27"/>
          <w:shd w:val="clear" w:color="auto" w:fill="FEFEFE"/>
        </w:rPr>
        <w:t xml:space="preserve">e l’Accademia Nazionale dei Lincei </w:t>
      </w:r>
    </w:p>
    <w:p w14:paraId="716C7A47" w14:textId="77777777" w:rsidR="00F074AB" w:rsidRPr="00284D22" w:rsidRDefault="00F074AB" w:rsidP="00F074AB">
      <w:pPr>
        <w:jc w:val="center"/>
        <w:rPr>
          <w:rFonts w:ascii="Georgia" w:hAnsi="Georgia"/>
          <w:b/>
          <w:color w:val="3E4648"/>
          <w:sz w:val="27"/>
          <w:szCs w:val="27"/>
          <w:shd w:val="clear" w:color="auto" w:fill="FEFEFE"/>
        </w:rPr>
      </w:pPr>
    </w:p>
    <w:p w14:paraId="699BF060" w14:textId="77777777" w:rsidR="00F074AB" w:rsidRPr="00284D22" w:rsidRDefault="00F074AB" w:rsidP="00F074AB">
      <w:pPr>
        <w:jc w:val="center"/>
        <w:rPr>
          <w:rFonts w:ascii="Georgia" w:hAnsi="Georgia"/>
          <w:b/>
          <w:color w:val="3E4648"/>
          <w:sz w:val="27"/>
          <w:szCs w:val="27"/>
          <w:shd w:val="clear" w:color="auto" w:fill="FEFEFE"/>
        </w:rPr>
      </w:pPr>
    </w:p>
    <w:p w14:paraId="1E617303" w14:textId="77777777" w:rsidR="00F074AB" w:rsidRPr="00284D22" w:rsidRDefault="00F074AB" w:rsidP="00F074AB">
      <w:pPr>
        <w:jc w:val="both"/>
        <w:rPr>
          <w:rFonts w:ascii="Georgia" w:hAnsi="Georgia"/>
          <w:b/>
          <w:color w:val="3E4648"/>
          <w:sz w:val="27"/>
          <w:szCs w:val="27"/>
          <w:shd w:val="clear" w:color="auto" w:fill="FEFEFE"/>
        </w:rPr>
      </w:pPr>
    </w:p>
    <w:p w14:paraId="1B85EF4B" w14:textId="77777777" w:rsidR="00F074AB" w:rsidRPr="00284D22" w:rsidRDefault="00F074AB" w:rsidP="00F074AB">
      <w:pPr>
        <w:jc w:val="both"/>
        <w:rPr>
          <w:rStyle w:val="Enfasigrassetto"/>
          <w:rFonts w:ascii="Georgia" w:hAnsi="Georgia" w:cstheme="minorHAnsi"/>
          <w:color w:val="000000"/>
          <w:sz w:val="28"/>
          <w:szCs w:val="28"/>
        </w:rPr>
      </w:pPr>
      <w:r w:rsidRPr="00284D22">
        <w:rPr>
          <w:rStyle w:val="Enfasigrassetto"/>
          <w:rFonts w:ascii="Georgia" w:hAnsi="Georgia" w:cstheme="minorHAnsi"/>
          <w:smallCaps/>
          <w:color w:val="000000"/>
          <w:sz w:val="28"/>
          <w:szCs w:val="28"/>
          <w:u w:val="single"/>
        </w:rPr>
        <w:t>Comunicato stampa</w:t>
      </w:r>
    </w:p>
    <w:p w14:paraId="7C39C25F" w14:textId="77777777" w:rsidR="00F074AB" w:rsidRPr="00284D22" w:rsidRDefault="00F074AB" w:rsidP="00F074AB">
      <w:pPr>
        <w:jc w:val="both"/>
        <w:rPr>
          <w:rStyle w:val="Enfasigrassetto"/>
          <w:rFonts w:ascii="Georgia" w:hAnsi="Georgia" w:cstheme="minorHAnsi"/>
          <w:color w:val="000000"/>
          <w:sz w:val="24"/>
          <w:szCs w:val="24"/>
        </w:rPr>
      </w:pPr>
      <w:r w:rsidRPr="00284D22">
        <w:rPr>
          <w:rStyle w:val="Enfasigrassetto"/>
          <w:rFonts w:ascii="Georgia" w:hAnsi="Georgia" w:cstheme="minorHAnsi"/>
          <w:color w:val="000000"/>
          <w:sz w:val="24"/>
          <w:szCs w:val="24"/>
        </w:rPr>
        <w:t>Venerdì 4 giugno 2021</w:t>
      </w:r>
    </w:p>
    <w:p w14:paraId="4EE2A435" w14:textId="77777777" w:rsidR="00F074AB" w:rsidRDefault="00F074AB" w:rsidP="00F074AB">
      <w:pPr>
        <w:jc w:val="both"/>
        <w:rPr>
          <w:rStyle w:val="Enfasigrassetto"/>
          <w:rFonts w:ascii="Garamond" w:hAnsi="Garamond" w:cstheme="minorHAnsi"/>
          <w:color w:val="000000"/>
          <w:sz w:val="24"/>
          <w:szCs w:val="24"/>
        </w:rPr>
      </w:pPr>
    </w:p>
    <w:p w14:paraId="67C25C18" w14:textId="77777777" w:rsidR="00F074AB" w:rsidRPr="00284D22" w:rsidRDefault="00F074AB" w:rsidP="00F074AB">
      <w:pPr>
        <w:pStyle w:val="NormaleWeb"/>
        <w:spacing w:line="360" w:lineRule="auto"/>
        <w:rPr>
          <w:rFonts w:ascii="Georgia" w:hAnsi="Georgia"/>
        </w:rPr>
      </w:pPr>
      <w:r w:rsidRPr="00284D22">
        <w:rPr>
          <w:rFonts w:ascii="Georgia" w:hAnsi="Georgia"/>
        </w:rPr>
        <w:t xml:space="preserve">Nella giornata di giovedì 3 giugno è stato firmato a Palazzo </w:t>
      </w:r>
      <w:proofErr w:type="spellStart"/>
      <w:r w:rsidRPr="00284D22">
        <w:rPr>
          <w:rFonts w:ascii="Georgia" w:hAnsi="Georgia"/>
        </w:rPr>
        <w:t>Corsini</w:t>
      </w:r>
      <w:proofErr w:type="spellEnd"/>
      <w:r w:rsidRPr="00284D22">
        <w:rPr>
          <w:rFonts w:ascii="Georgia" w:hAnsi="Georgia"/>
        </w:rPr>
        <w:t xml:space="preserve"> </w:t>
      </w:r>
      <w:r w:rsidRPr="00284D22">
        <w:rPr>
          <w:rFonts w:ascii="Georgia" w:hAnsi="Georgia"/>
          <w:b/>
        </w:rPr>
        <w:t>l’accordo quadro tra il Parco archeologico del Colosseo e l’Accademia Nazionale dei Lincei</w:t>
      </w:r>
      <w:r w:rsidRPr="00284D22">
        <w:rPr>
          <w:rFonts w:ascii="Georgia" w:hAnsi="Georgia"/>
        </w:rPr>
        <w:t>.</w:t>
      </w:r>
    </w:p>
    <w:p w14:paraId="2653F291" w14:textId="77777777" w:rsidR="00F074AB" w:rsidRDefault="00F074AB" w:rsidP="00F074AB">
      <w:pPr>
        <w:pStyle w:val="NormaleWeb"/>
        <w:spacing w:line="360" w:lineRule="auto"/>
        <w:rPr>
          <w:rFonts w:ascii="Georgia" w:hAnsi="Georgia"/>
        </w:rPr>
      </w:pPr>
    </w:p>
    <w:p w14:paraId="7D8D6316" w14:textId="77777777" w:rsidR="00F074AB" w:rsidRDefault="00F074AB" w:rsidP="00F074AB">
      <w:pPr>
        <w:pStyle w:val="NormaleWeb"/>
        <w:spacing w:line="360" w:lineRule="auto"/>
        <w:rPr>
          <w:rFonts w:ascii="Georgia" w:hAnsi="Georgia"/>
        </w:rPr>
      </w:pPr>
      <w:r w:rsidRPr="00284D22">
        <w:rPr>
          <w:rFonts w:ascii="Georgia" w:hAnsi="Georgia"/>
        </w:rPr>
        <w:t xml:space="preserve">Le due prestigiose istituzioni, unite da legami storico culturali che saranno valorizzati dall’accordo, sono entrambe impegnate nella ricerca, promozione e diffusione del proprio patrimonio e grazie a questo storico accordo collaboreranno per </w:t>
      </w:r>
      <w:r w:rsidRPr="00284D22">
        <w:rPr>
          <w:rFonts w:ascii="Georgia" w:hAnsi="Georgia"/>
          <w:b/>
        </w:rPr>
        <w:t>4 anni</w:t>
      </w:r>
      <w:r w:rsidRPr="00284D22">
        <w:rPr>
          <w:rFonts w:ascii="Georgia" w:hAnsi="Georgia"/>
        </w:rPr>
        <w:t xml:space="preserve">, dando vita ad una serie di iniziative e progetti condivisi. </w:t>
      </w:r>
    </w:p>
    <w:p w14:paraId="341F4EF6" w14:textId="77777777" w:rsidR="00F074AB" w:rsidRPr="00284D22" w:rsidRDefault="00F074AB" w:rsidP="00F074AB">
      <w:pPr>
        <w:pStyle w:val="NormaleWeb"/>
        <w:spacing w:line="360" w:lineRule="auto"/>
        <w:rPr>
          <w:rFonts w:ascii="Georgia" w:hAnsi="Georgia"/>
        </w:rPr>
      </w:pPr>
    </w:p>
    <w:p w14:paraId="3024F288" w14:textId="77777777" w:rsidR="00F074AB" w:rsidRDefault="00F074AB" w:rsidP="00F074AB">
      <w:pPr>
        <w:pStyle w:val="NormaleWeb"/>
        <w:spacing w:line="360" w:lineRule="auto"/>
        <w:rPr>
          <w:rFonts w:ascii="Georgia" w:hAnsi="Georgia"/>
        </w:rPr>
      </w:pPr>
      <w:r w:rsidRPr="00284D22">
        <w:rPr>
          <w:rFonts w:ascii="Georgia" w:hAnsi="Georgia"/>
        </w:rPr>
        <w:t xml:space="preserve">L’accordo prevede attività di </w:t>
      </w:r>
      <w:r w:rsidRPr="00284D22">
        <w:rPr>
          <w:rFonts w:ascii="Georgia" w:hAnsi="Georgia"/>
          <w:b/>
        </w:rPr>
        <w:t>studio, formazione e divulgazione della cultura</w:t>
      </w:r>
      <w:r w:rsidRPr="00284D22">
        <w:rPr>
          <w:rFonts w:ascii="Georgia" w:hAnsi="Georgia"/>
        </w:rPr>
        <w:t>, tra cui conferenze, seminari e tavole rotonde di carattere scientifico, ma anche la realizzazione di mostre, eventi espositivi e programmi educativi</w:t>
      </w:r>
      <w:r>
        <w:rPr>
          <w:rFonts w:ascii="Georgia" w:hAnsi="Georgia"/>
        </w:rPr>
        <w:t xml:space="preserve"> declinati su varie tipologie</w:t>
      </w:r>
      <w:r w:rsidRPr="00284D22">
        <w:rPr>
          <w:rFonts w:ascii="Georgia" w:hAnsi="Georgia"/>
        </w:rPr>
        <w:t xml:space="preserve">. </w:t>
      </w:r>
    </w:p>
    <w:p w14:paraId="147929F8" w14:textId="77777777" w:rsidR="00F074AB" w:rsidRPr="00284D22" w:rsidRDefault="00F074AB" w:rsidP="00F074AB">
      <w:pPr>
        <w:pStyle w:val="NormaleWeb"/>
        <w:spacing w:line="360" w:lineRule="auto"/>
        <w:rPr>
          <w:rFonts w:ascii="Georgia" w:hAnsi="Georgia"/>
        </w:rPr>
      </w:pPr>
    </w:p>
    <w:p w14:paraId="074BCB6A" w14:textId="77777777" w:rsidR="00F074AB" w:rsidRDefault="00F074AB" w:rsidP="00F074AB">
      <w:pPr>
        <w:pStyle w:val="NormaleWeb"/>
        <w:spacing w:line="360" w:lineRule="auto"/>
        <w:jc w:val="both"/>
        <w:rPr>
          <w:rFonts w:ascii="Georgia" w:hAnsi="Georgia"/>
        </w:rPr>
      </w:pPr>
      <w:r w:rsidRPr="00284D22">
        <w:rPr>
          <w:rFonts w:ascii="Georgia" w:hAnsi="Georgia"/>
        </w:rPr>
        <w:t xml:space="preserve">In concomitanza con la firma </w:t>
      </w:r>
      <w:r>
        <w:rPr>
          <w:rFonts w:ascii="Georgia" w:hAnsi="Georgia"/>
        </w:rPr>
        <w:t xml:space="preserve">sono già pronte </w:t>
      </w:r>
      <w:r w:rsidRPr="00284D22">
        <w:rPr>
          <w:rFonts w:ascii="Georgia" w:hAnsi="Georgia"/>
        </w:rPr>
        <w:t xml:space="preserve">le prime attività condivise: </w:t>
      </w:r>
      <w:r>
        <w:rPr>
          <w:rFonts w:ascii="Georgia" w:hAnsi="Georgia"/>
        </w:rPr>
        <w:t>è di questi giorni l’avvio del</w:t>
      </w:r>
      <w:r w:rsidRPr="00284D22">
        <w:rPr>
          <w:rFonts w:ascii="Georgia" w:hAnsi="Georgia"/>
        </w:rPr>
        <w:t xml:space="preserve"> progetto </w:t>
      </w:r>
      <w:r w:rsidRPr="00660568">
        <w:rPr>
          <w:rFonts w:ascii="Georgia" w:hAnsi="Georgia"/>
          <w:b/>
        </w:rPr>
        <w:t>“Logge Digitali”</w:t>
      </w:r>
      <w:r w:rsidRPr="00284D22">
        <w:rPr>
          <w:rFonts w:ascii="Georgia" w:hAnsi="Georgia"/>
        </w:rPr>
        <w:t xml:space="preserve">, </w:t>
      </w:r>
      <w:r w:rsidRPr="00C21CB6">
        <w:rPr>
          <w:rFonts w:ascii="Georgia" w:hAnsi="Georgia"/>
        </w:rPr>
        <w:t>con la partecipazione dell’INGV (Istituto Nazionale di Geofisica e Vulcanologia) che punta al</w:t>
      </w:r>
      <w:r>
        <w:rPr>
          <w:rFonts w:ascii="Georgia" w:hAnsi="Georgia"/>
        </w:rPr>
        <w:t xml:space="preserve">la </w:t>
      </w:r>
      <w:r w:rsidRPr="00660568">
        <w:rPr>
          <w:rFonts w:ascii="Georgia" w:hAnsi="Georgia"/>
          <w:b/>
        </w:rPr>
        <w:t>digitalizzazione ad alta risoluzione</w:t>
      </w:r>
      <w:r w:rsidRPr="00284D22">
        <w:rPr>
          <w:rFonts w:ascii="Georgia" w:hAnsi="Georgia"/>
        </w:rPr>
        <w:t xml:space="preserve"> e </w:t>
      </w:r>
      <w:r>
        <w:rPr>
          <w:rFonts w:ascii="Georgia" w:hAnsi="Georgia"/>
        </w:rPr>
        <w:t>al</w:t>
      </w:r>
      <w:r w:rsidRPr="00284D22">
        <w:rPr>
          <w:rFonts w:ascii="Georgia" w:hAnsi="Georgia"/>
        </w:rPr>
        <w:t xml:space="preserve">la </w:t>
      </w:r>
      <w:r w:rsidRPr="00660568">
        <w:rPr>
          <w:rFonts w:ascii="Georgia" w:hAnsi="Georgia"/>
          <w:b/>
        </w:rPr>
        <w:t>valorizzazione condivisa</w:t>
      </w:r>
      <w:r w:rsidRPr="00284D22">
        <w:rPr>
          <w:rFonts w:ascii="Georgia" w:hAnsi="Georgia"/>
        </w:rPr>
        <w:t xml:space="preserve"> delle </w:t>
      </w:r>
      <w:r w:rsidRPr="00660568">
        <w:rPr>
          <w:rFonts w:ascii="Georgia" w:hAnsi="Georgia"/>
          <w:b/>
        </w:rPr>
        <w:t xml:space="preserve">volte dipinte conservate nel </w:t>
      </w:r>
      <w:proofErr w:type="spellStart"/>
      <w:r>
        <w:rPr>
          <w:rFonts w:ascii="Georgia" w:hAnsi="Georgia"/>
          <w:b/>
        </w:rPr>
        <w:t>PArCo</w:t>
      </w:r>
      <w:proofErr w:type="spellEnd"/>
      <w:r w:rsidRPr="00660568">
        <w:rPr>
          <w:rFonts w:ascii="Georgia" w:hAnsi="Georgia"/>
          <w:b/>
        </w:rPr>
        <w:t xml:space="preserve"> e nella Villa Farnesina</w:t>
      </w:r>
      <w:r w:rsidRPr="00284D22">
        <w:rPr>
          <w:rFonts w:ascii="Georgia" w:hAnsi="Georgia"/>
        </w:rPr>
        <w:t xml:space="preserve">, sede di rappresentanza dell’Accademia. </w:t>
      </w:r>
      <w:r>
        <w:rPr>
          <w:rFonts w:ascii="Georgia" w:hAnsi="Georgia"/>
        </w:rPr>
        <w:t>In particolare il legame sarà creato tra la</w:t>
      </w:r>
      <w:r w:rsidRPr="00284D22">
        <w:rPr>
          <w:rFonts w:ascii="Georgia" w:hAnsi="Georgia"/>
        </w:rPr>
        <w:t xml:space="preserve"> </w:t>
      </w:r>
      <w:r w:rsidRPr="00660568">
        <w:rPr>
          <w:rFonts w:ascii="Georgia" w:hAnsi="Georgia"/>
          <w:b/>
        </w:rPr>
        <w:t>digitalizzazione della “Loggia Mattei” dipinta da Baldassarre Peruzzi sul Palatino</w:t>
      </w:r>
      <w:r>
        <w:rPr>
          <w:rFonts w:ascii="Georgia" w:hAnsi="Georgia"/>
        </w:rPr>
        <w:t xml:space="preserve"> </w:t>
      </w:r>
      <w:r w:rsidRPr="00660568">
        <w:rPr>
          <w:rFonts w:ascii="Georgia" w:hAnsi="Georgia"/>
          <w:b/>
        </w:rPr>
        <w:t xml:space="preserve">nel </w:t>
      </w:r>
      <w:r>
        <w:rPr>
          <w:rFonts w:ascii="Georgia" w:hAnsi="Georgia"/>
          <w:b/>
        </w:rPr>
        <w:t>Cinquecento</w:t>
      </w:r>
      <w:r w:rsidRPr="00284D2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e la </w:t>
      </w:r>
      <w:r w:rsidRPr="00660568">
        <w:rPr>
          <w:rFonts w:ascii="Georgia" w:hAnsi="Georgia"/>
          <w:b/>
        </w:rPr>
        <w:t>“Loggia di Galatea” nella Villa Farnesina</w:t>
      </w:r>
      <w:r w:rsidRPr="00284D2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dipinta oltre che da </w:t>
      </w:r>
      <w:r w:rsidRPr="00284D22">
        <w:rPr>
          <w:rFonts w:ascii="Georgia" w:hAnsi="Georgia"/>
        </w:rPr>
        <w:t xml:space="preserve">Raffaello e Sebastiano del Piombo, </w:t>
      </w:r>
      <w:r>
        <w:rPr>
          <w:rFonts w:ascii="Georgia" w:hAnsi="Georgia"/>
        </w:rPr>
        <w:t xml:space="preserve">dallo stesso </w:t>
      </w:r>
      <w:r w:rsidRPr="00660568">
        <w:rPr>
          <w:rFonts w:ascii="Georgia" w:hAnsi="Georgia"/>
          <w:b/>
        </w:rPr>
        <w:t>Peruzzi</w:t>
      </w:r>
      <w:r w:rsidRPr="00284D22">
        <w:rPr>
          <w:rFonts w:ascii="Georgia" w:hAnsi="Georgia"/>
        </w:rPr>
        <w:t>.</w:t>
      </w:r>
    </w:p>
    <w:p w14:paraId="5858EA9B" w14:textId="08903824" w:rsidR="00F074AB" w:rsidRPr="00284D22" w:rsidRDefault="00F074AB" w:rsidP="00F074AB">
      <w:pPr>
        <w:pStyle w:val="NormaleWeb"/>
        <w:spacing w:line="360" w:lineRule="auto"/>
        <w:jc w:val="both"/>
        <w:rPr>
          <w:rFonts w:ascii="Georgia" w:hAnsi="Georgia"/>
        </w:rPr>
      </w:pPr>
      <w:r w:rsidRPr="00C21CB6">
        <w:rPr>
          <w:rFonts w:ascii="Georgia" w:hAnsi="Georgia"/>
        </w:rPr>
        <w:t xml:space="preserve">In avvio anche un progetto </w:t>
      </w:r>
      <w:r w:rsidRPr="00C6738F">
        <w:rPr>
          <w:rFonts w:ascii="Georgia" w:hAnsi="Georgia"/>
          <w:b/>
        </w:rPr>
        <w:t>per il monitoraggio dell’inquinamento da polveri sottili</w:t>
      </w:r>
      <w:r w:rsidRPr="00C21CB6">
        <w:rPr>
          <w:rFonts w:ascii="Georgia" w:hAnsi="Georgia"/>
        </w:rPr>
        <w:t xml:space="preserve"> grazie alle indagini</w:t>
      </w:r>
      <w:r w:rsidRPr="00C21CB6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r w:rsidRPr="00C21CB6">
        <w:rPr>
          <w:rFonts w:ascii="Georgia" w:hAnsi="Georgia"/>
        </w:rPr>
        <w:t xml:space="preserve">magnetiche sulle foglie degli alberi e su trapianti lichenici; già svolto con risultati di grande interesse a Villa Farnesina il monitoraggio sarà esteso nei prossimi mesi anche all’area archeologica del </w:t>
      </w:r>
      <w:proofErr w:type="spellStart"/>
      <w:r w:rsidRPr="00C21CB6">
        <w:rPr>
          <w:rFonts w:ascii="Georgia" w:hAnsi="Georgia"/>
        </w:rPr>
        <w:t>PArCo</w:t>
      </w:r>
      <w:proofErr w:type="spellEnd"/>
      <w:r w:rsidRPr="00C21CB6">
        <w:rPr>
          <w:rFonts w:ascii="Georgia" w:hAnsi="Georgia"/>
        </w:rPr>
        <w:t>.</w:t>
      </w:r>
      <w:r w:rsidRPr="00284D22">
        <w:rPr>
          <w:rFonts w:ascii="Georgia" w:hAnsi="Georgia"/>
        </w:rPr>
        <w:t xml:space="preserve"> </w:t>
      </w:r>
    </w:p>
    <w:p w14:paraId="662D1061" w14:textId="77777777" w:rsidR="00F074AB" w:rsidRPr="00284D22" w:rsidRDefault="00F074AB" w:rsidP="00F074AB">
      <w:pPr>
        <w:pStyle w:val="NormaleWeb"/>
        <w:spacing w:line="360" w:lineRule="auto"/>
        <w:rPr>
          <w:rFonts w:ascii="Georgia" w:hAnsi="Georgia"/>
        </w:rPr>
      </w:pPr>
    </w:p>
    <w:p w14:paraId="69DA426F" w14:textId="77777777" w:rsidR="00F074AB" w:rsidRDefault="00F074AB" w:rsidP="00F074AB">
      <w:pPr>
        <w:pStyle w:val="NormaleWeb"/>
        <w:spacing w:line="360" w:lineRule="auto"/>
        <w:rPr>
          <w:rFonts w:ascii="Georgia" w:hAnsi="Georgia"/>
        </w:rPr>
      </w:pPr>
    </w:p>
    <w:p w14:paraId="75339D6C" w14:textId="77777777" w:rsidR="00F074AB" w:rsidRPr="00284D22" w:rsidRDefault="00F074AB" w:rsidP="007225EC">
      <w:pPr>
        <w:pStyle w:val="NormaleWeb"/>
        <w:spacing w:line="360" w:lineRule="auto"/>
        <w:rPr>
          <w:rFonts w:ascii="Georgia" w:hAnsi="Georgia"/>
        </w:rPr>
      </w:pPr>
      <w:r w:rsidRPr="00284D22">
        <w:rPr>
          <w:rFonts w:ascii="Georgia" w:hAnsi="Georgia"/>
        </w:rPr>
        <w:t xml:space="preserve">Tra le altre attività al via, </w:t>
      </w:r>
      <w:r>
        <w:rPr>
          <w:rFonts w:ascii="Georgia" w:hAnsi="Georgia"/>
        </w:rPr>
        <w:t xml:space="preserve">vi è </w:t>
      </w:r>
      <w:r w:rsidRPr="00284D22">
        <w:rPr>
          <w:rFonts w:ascii="Georgia" w:hAnsi="Georgia"/>
        </w:rPr>
        <w:t xml:space="preserve">l’adesione del </w:t>
      </w:r>
      <w:proofErr w:type="spellStart"/>
      <w:r>
        <w:rPr>
          <w:rFonts w:ascii="Georgia" w:hAnsi="Georgia"/>
        </w:rPr>
        <w:t>PArCo</w:t>
      </w:r>
      <w:proofErr w:type="spellEnd"/>
      <w:r>
        <w:rPr>
          <w:rFonts w:ascii="Georgia" w:hAnsi="Georgia"/>
        </w:rPr>
        <w:t xml:space="preserve"> al</w:t>
      </w:r>
      <w:r w:rsidRPr="00284D22">
        <w:rPr>
          <w:rFonts w:ascii="Georgia" w:hAnsi="Georgia"/>
        </w:rPr>
        <w:t xml:space="preserve"> network internazionale “</w:t>
      </w:r>
      <w:r w:rsidRPr="007225EC">
        <w:rPr>
          <w:rFonts w:ascii="Georgia" w:hAnsi="Georgia"/>
        </w:rPr>
        <w:t>Blu egizio network</w:t>
      </w:r>
      <w:r w:rsidRPr="00284D22">
        <w:rPr>
          <w:rFonts w:ascii="Georgia" w:hAnsi="Georgia"/>
        </w:rPr>
        <w:t>”, organizzato dal costituendo Centro linceo di ricerca sui beni culturali “Agostino Chigi” presso Villa Farnesina, per individuare le linee di tendenza delle ricerche i</w:t>
      </w:r>
      <w:r>
        <w:rPr>
          <w:rFonts w:ascii="Georgia" w:hAnsi="Georgia"/>
        </w:rPr>
        <w:t>n corso sull’antico pigmento</w:t>
      </w:r>
      <w:r w:rsidRPr="00284D22">
        <w:rPr>
          <w:rFonts w:ascii="Georgia" w:hAnsi="Georgia"/>
        </w:rPr>
        <w:t xml:space="preserve">.  </w:t>
      </w:r>
    </w:p>
    <w:p w14:paraId="582B3729" w14:textId="77777777" w:rsidR="00F074AB" w:rsidRDefault="00F074AB" w:rsidP="00F074AB">
      <w:pPr>
        <w:pStyle w:val="NormaleWeb"/>
        <w:spacing w:line="360" w:lineRule="auto"/>
        <w:jc w:val="both"/>
        <w:rPr>
          <w:rFonts w:ascii="Georgia" w:hAnsi="Georgia"/>
        </w:rPr>
      </w:pPr>
      <w:r w:rsidRPr="00284D22">
        <w:rPr>
          <w:rFonts w:ascii="Georgia" w:hAnsi="Georgia"/>
        </w:rPr>
        <w:t>“</w:t>
      </w:r>
      <w:r w:rsidRPr="00660568">
        <w:rPr>
          <w:rFonts w:ascii="Georgia" w:hAnsi="Georgia"/>
          <w:i/>
        </w:rPr>
        <w:t>Il Parco e l’Accademia condividono non solo l’impegno comune nella ricerca e nella diffusione della cultura, ma anche un legame storico artistico tra i monumenti del Parco e quelli della Villa Farnesina</w:t>
      </w:r>
      <w:r w:rsidRPr="00284D22">
        <w:rPr>
          <w:rFonts w:ascii="Georgia" w:hAnsi="Georgia"/>
        </w:rPr>
        <w:t xml:space="preserve">”, afferma </w:t>
      </w:r>
      <w:r w:rsidRPr="00660568">
        <w:rPr>
          <w:rFonts w:ascii="Georgia" w:hAnsi="Georgia"/>
          <w:b/>
        </w:rPr>
        <w:t>Alfonsina Russo, Direttore del Parco</w:t>
      </w:r>
      <w:r>
        <w:rPr>
          <w:rFonts w:ascii="Georgia" w:hAnsi="Georgia"/>
        </w:rPr>
        <w:t>.</w:t>
      </w:r>
      <w:r w:rsidRPr="00284D22">
        <w:rPr>
          <w:rFonts w:ascii="Georgia" w:hAnsi="Georgia"/>
        </w:rPr>
        <w:t xml:space="preserve"> “</w:t>
      </w:r>
      <w:r w:rsidRPr="00660568">
        <w:rPr>
          <w:rFonts w:ascii="Georgia" w:hAnsi="Georgia"/>
          <w:i/>
        </w:rPr>
        <w:t>Sono certa che la collaborazione tra i nostri Istituti sarà ricca di soddisfazioni e di risultati di grande interesse</w:t>
      </w:r>
      <w:r w:rsidRPr="00284D22">
        <w:rPr>
          <w:rFonts w:ascii="Georgia" w:hAnsi="Georgia"/>
        </w:rPr>
        <w:t xml:space="preserve">”. </w:t>
      </w:r>
    </w:p>
    <w:p w14:paraId="0CF014B6" w14:textId="77777777" w:rsidR="000C0D3C" w:rsidRDefault="000C0D3C" w:rsidP="00F074AB">
      <w:pPr>
        <w:pStyle w:val="NormaleWeb"/>
        <w:spacing w:line="360" w:lineRule="auto"/>
        <w:jc w:val="both"/>
        <w:rPr>
          <w:rFonts w:ascii="Georgia" w:hAnsi="Georgia"/>
        </w:rPr>
      </w:pPr>
    </w:p>
    <w:p w14:paraId="71574469" w14:textId="7BEAA8C4" w:rsidR="000C0D3C" w:rsidRDefault="000C0D3C" w:rsidP="00F074AB">
      <w:pPr>
        <w:pStyle w:val="NormaleWeb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“</w:t>
      </w:r>
      <w:r w:rsidRPr="000C0D3C">
        <w:rPr>
          <w:rFonts w:ascii="Georgia" w:hAnsi="Georgia"/>
          <w:i/>
        </w:rPr>
        <w:t>In Italia abbiamo molte istituzioni di eccellenza nel campo culturale</w:t>
      </w:r>
      <w:r>
        <w:rPr>
          <w:rFonts w:ascii="Georgia" w:hAnsi="Georgia"/>
        </w:rPr>
        <w:t xml:space="preserve">” dichiara il </w:t>
      </w:r>
      <w:r w:rsidRPr="000C0D3C">
        <w:rPr>
          <w:rFonts w:ascii="Georgia" w:hAnsi="Georgia"/>
          <w:b/>
        </w:rPr>
        <w:t>Presidente dell’Accademia</w:t>
      </w:r>
      <w:r>
        <w:rPr>
          <w:rFonts w:ascii="Georgia" w:hAnsi="Georgia"/>
          <w:b/>
        </w:rPr>
        <w:t>,</w:t>
      </w:r>
      <w:r w:rsidRPr="000C0D3C">
        <w:rPr>
          <w:rFonts w:ascii="Georgia" w:hAnsi="Georgia"/>
          <w:b/>
        </w:rPr>
        <w:t xml:space="preserve"> prof. Giorgio Parisi</w:t>
      </w:r>
      <w:r>
        <w:rPr>
          <w:rFonts w:ascii="Georgia" w:hAnsi="Georgia"/>
        </w:rPr>
        <w:t>,</w:t>
      </w:r>
      <w:r w:rsidRPr="000C0D3C"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r w:rsidRPr="000C0D3C">
        <w:rPr>
          <w:rFonts w:ascii="Georgia" w:hAnsi="Georgia"/>
          <w:i/>
        </w:rPr>
        <w:t xml:space="preserve">che spesso non collaborano tra di loro, ed è un peccato perché è importante fare squadra non solo nelle scienze fisiche, ma anche in campo culturale. Quest'accordo è un passo importante per cambiare </w:t>
      </w:r>
      <w:r>
        <w:rPr>
          <w:rFonts w:ascii="Georgia" w:hAnsi="Georgia"/>
          <w:i/>
        </w:rPr>
        <w:t xml:space="preserve">la </w:t>
      </w:r>
      <w:r w:rsidRPr="000C0D3C">
        <w:rPr>
          <w:rFonts w:ascii="Georgia" w:hAnsi="Georgia"/>
          <w:i/>
        </w:rPr>
        <w:t>situazione e spero che altri accordi di questo tipo verranno realizzati nel futuro</w:t>
      </w:r>
      <w:r w:rsidRPr="000C0D3C">
        <w:rPr>
          <w:rFonts w:ascii="Georgia" w:hAnsi="Georgia"/>
        </w:rPr>
        <w:t>.</w:t>
      </w:r>
      <w:r>
        <w:rPr>
          <w:rFonts w:ascii="Georgia" w:hAnsi="Georgia"/>
        </w:rPr>
        <w:t>”</w:t>
      </w:r>
    </w:p>
    <w:p w14:paraId="74595605" w14:textId="2245F089" w:rsidR="00E44742" w:rsidRDefault="00E44742" w:rsidP="00F074AB">
      <w:pPr>
        <w:pStyle w:val="NormaleWeb"/>
        <w:spacing w:line="360" w:lineRule="auto"/>
        <w:jc w:val="both"/>
        <w:rPr>
          <w:rFonts w:ascii="Georgia" w:hAnsi="Georgia"/>
        </w:rPr>
      </w:pPr>
    </w:p>
    <w:p w14:paraId="66607716" w14:textId="0B263661" w:rsidR="00E44742" w:rsidRPr="00E44742" w:rsidRDefault="00E44742" w:rsidP="00E44742">
      <w:pPr>
        <w:jc w:val="both"/>
      </w:pPr>
      <w:r w:rsidRPr="00E44742">
        <w:t xml:space="preserve">Il </w:t>
      </w:r>
      <w:r w:rsidRPr="00E44742">
        <w:rPr>
          <w:b/>
        </w:rPr>
        <w:t>Parco archeologico del Colosseo</w:t>
      </w:r>
      <w:r w:rsidRPr="00E44742">
        <w:t xml:space="preserve"> è un ufficio autonomo del Ministero della cultura e comprende le aree archeologiche del Colosseo, del Foro Romano e Palatino e della Domus Aurea, oltre all’Arco di Costatino e alla Meta </w:t>
      </w:r>
      <w:proofErr w:type="spellStart"/>
      <w:r w:rsidRPr="00E44742">
        <w:t>Sudans</w:t>
      </w:r>
      <w:proofErr w:type="spellEnd"/>
      <w:r w:rsidRPr="00E44742">
        <w:t>. Il Parco è impegnato nella tutela, conservazione, ricerca e valorizzazione del proprio patrimonio archeologico, monumentale e paesaggistico, promuovendo una costante educazione alla memoria, anche con l’impegno di tramandare le radici della nostra storia alle generazioni future.</w:t>
      </w:r>
    </w:p>
    <w:p w14:paraId="1DC57A76" w14:textId="77777777" w:rsidR="00E44742" w:rsidRPr="00E44742" w:rsidRDefault="00E44742" w:rsidP="00E44742">
      <w:pPr>
        <w:jc w:val="both"/>
      </w:pPr>
      <w:r w:rsidRPr="00E44742">
        <w:t xml:space="preserve">Per informazioni sugli orari e sulle modalità di visita: </w:t>
      </w:r>
      <w:hyperlink r:id="rId7" w:history="1">
        <w:r w:rsidRPr="00E44742">
          <w:rPr>
            <w:rStyle w:val="Collegamentoipertestuale"/>
            <w:rFonts w:eastAsiaTheme="majorEastAsia"/>
          </w:rPr>
          <w:t>www.parcocolosseo.it</w:t>
        </w:r>
      </w:hyperlink>
    </w:p>
    <w:p w14:paraId="28474BB8" w14:textId="12DA8F4E" w:rsidR="00E44742" w:rsidRPr="00E44742" w:rsidRDefault="00E44742" w:rsidP="00E44742">
      <w:pPr>
        <w:jc w:val="both"/>
      </w:pPr>
    </w:p>
    <w:p w14:paraId="5230AD1B" w14:textId="77777777" w:rsidR="00E44742" w:rsidRPr="00E44742" w:rsidRDefault="00E44742" w:rsidP="00E44742">
      <w:pPr>
        <w:jc w:val="both"/>
      </w:pPr>
    </w:p>
    <w:p w14:paraId="306DC7CA" w14:textId="2B152835" w:rsidR="00E44742" w:rsidRPr="00E44742" w:rsidRDefault="00E44742" w:rsidP="00E44742">
      <w:pPr>
        <w:jc w:val="both"/>
      </w:pPr>
      <w:r w:rsidRPr="00E44742">
        <w:t>L’</w:t>
      </w:r>
      <w:r w:rsidRPr="00E44742">
        <w:rPr>
          <w:b/>
        </w:rPr>
        <w:t>Accademia Nazionale dei Lincei</w:t>
      </w:r>
      <w:r w:rsidRPr="00E44742">
        <w:t xml:space="preserve"> è una istituzione di alta cultura, con sede in Roma, che ha per statuto, approvato con decreto del Ministero della Cultura, lo scopo di promuovere, coordinare, integrare e diffondere le conoscenze scientifiche nelle loro più elevate espressioni nel quadro dell’unità e universalità della cultura.</w:t>
      </w:r>
    </w:p>
    <w:p w14:paraId="7E966832" w14:textId="77777777" w:rsidR="00E44742" w:rsidRPr="00E44742" w:rsidRDefault="00E44742" w:rsidP="00E44742">
      <w:pPr>
        <w:jc w:val="both"/>
      </w:pPr>
      <w:r w:rsidRPr="00E44742">
        <w:t xml:space="preserve">La sede dell’Accademia è al secondo piano di Palazzo </w:t>
      </w:r>
      <w:proofErr w:type="spellStart"/>
      <w:r w:rsidRPr="00E44742">
        <w:t>Corsini</w:t>
      </w:r>
      <w:proofErr w:type="spellEnd"/>
      <w:r w:rsidRPr="00E44742">
        <w:t xml:space="preserve">, in via della Lungara 10, nel rione di Trastevere; al primo piano è situata la prestigiosa Biblioteca dell’Accademia Nazionale dei Lincei e </w:t>
      </w:r>
      <w:proofErr w:type="spellStart"/>
      <w:r w:rsidRPr="00E44742">
        <w:t>Corsiniana</w:t>
      </w:r>
      <w:proofErr w:type="spellEnd"/>
      <w:r w:rsidRPr="00E44742">
        <w:t xml:space="preserve">. </w:t>
      </w:r>
    </w:p>
    <w:p w14:paraId="6B2841DE" w14:textId="0E0CAA99" w:rsidR="00E44742" w:rsidRDefault="00E44742" w:rsidP="00E44742">
      <w:pPr>
        <w:jc w:val="both"/>
      </w:pPr>
      <w:r w:rsidRPr="00E44742">
        <w:t xml:space="preserve">Per informazioni: </w:t>
      </w:r>
      <w:hyperlink r:id="rId8" w:history="1">
        <w:r w:rsidRPr="006053E2">
          <w:rPr>
            <w:rStyle w:val="Collegamentoipertestuale"/>
          </w:rPr>
          <w:t>www.lincei.it</w:t>
        </w:r>
      </w:hyperlink>
    </w:p>
    <w:p w14:paraId="514C383E" w14:textId="77777777" w:rsidR="00E44742" w:rsidRPr="00E44742" w:rsidRDefault="00E44742" w:rsidP="00E44742">
      <w:pPr>
        <w:jc w:val="both"/>
      </w:pPr>
    </w:p>
    <w:p w14:paraId="320B412F" w14:textId="05681890" w:rsidR="00E44742" w:rsidRPr="00E44742" w:rsidRDefault="00E44742" w:rsidP="00E44742">
      <w:pPr>
        <w:jc w:val="both"/>
      </w:pPr>
      <w:r w:rsidRPr="00E44742">
        <w:t xml:space="preserve">La Villa Farnesina, posta di fronte Palazzo </w:t>
      </w:r>
      <w:proofErr w:type="spellStart"/>
      <w:r w:rsidRPr="00E44742">
        <w:t>Corsini</w:t>
      </w:r>
      <w:proofErr w:type="spellEnd"/>
      <w:r w:rsidRPr="00E44742">
        <w:t xml:space="preserve">, sede di rappresentanza dell’Accademia, è una delle più nobili e armoniose realizzazioni del Rinascimento italiano. Opera dell’architetto senese Baldassarre Peruzzi, fu affrescata da Raffaello, Sebastiano del Piombo, Giovanni Antonio </w:t>
      </w:r>
      <w:proofErr w:type="spellStart"/>
      <w:r w:rsidRPr="00E44742">
        <w:t>Bazzi</w:t>
      </w:r>
      <w:proofErr w:type="spellEnd"/>
      <w:r w:rsidRPr="00E44742">
        <w:t>, detto il Sodoma, e dallo stesso Peruzzi.</w:t>
      </w:r>
    </w:p>
    <w:p w14:paraId="74D08908" w14:textId="77777777" w:rsidR="00E44742" w:rsidRPr="00E44742" w:rsidRDefault="00E44742" w:rsidP="00E44742">
      <w:pPr>
        <w:jc w:val="both"/>
      </w:pPr>
      <w:r w:rsidRPr="00E44742">
        <w:t xml:space="preserve">Per informazioni: </w:t>
      </w:r>
      <w:hyperlink r:id="rId9" w:history="1">
        <w:r w:rsidRPr="00E44742">
          <w:rPr>
            <w:rStyle w:val="Collegamentoipertestuale"/>
            <w:rFonts w:eastAsiaTheme="majorEastAsia"/>
          </w:rPr>
          <w:t>www.villafarnesina.it</w:t>
        </w:r>
      </w:hyperlink>
    </w:p>
    <w:p w14:paraId="66BC1F3D" w14:textId="5400EE6B" w:rsidR="00E44742" w:rsidRDefault="00E44742" w:rsidP="00F074AB">
      <w:pPr>
        <w:pStyle w:val="NormaleWeb"/>
        <w:spacing w:line="360" w:lineRule="auto"/>
        <w:jc w:val="both"/>
        <w:rPr>
          <w:rFonts w:ascii="Georgia" w:hAnsi="Georgia"/>
        </w:rPr>
      </w:pPr>
    </w:p>
    <w:p w14:paraId="42C76E24" w14:textId="77D92ACC" w:rsidR="00783813" w:rsidRDefault="00783813" w:rsidP="00F074AB">
      <w:pPr>
        <w:pStyle w:val="NormaleWeb"/>
        <w:spacing w:line="360" w:lineRule="auto"/>
        <w:jc w:val="both"/>
        <w:rPr>
          <w:rFonts w:ascii="Georgia" w:hAnsi="Georgia"/>
        </w:rPr>
      </w:pPr>
    </w:p>
    <w:p w14:paraId="614BDE80" w14:textId="288784E0" w:rsidR="00783813" w:rsidRDefault="00783813" w:rsidP="00F074AB">
      <w:pPr>
        <w:pStyle w:val="NormaleWeb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  <w:bookmarkStart w:id="0" w:name="_GoBack"/>
      <w:bookmarkEnd w:id="0"/>
    </w:p>
    <w:p w14:paraId="442ACE7C" w14:textId="77777777" w:rsidR="00064AB4" w:rsidRDefault="00064AB4" w:rsidP="00064AB4">
      <w:pPr>
        <w:rPr>
          <w:rFonts w:ascii="Garamond" w:hAnsi="Garamond"/>
          <w:b/>
          <w:noProof/>
          <w:lang w:eastAsia="zh-CN"/>
        </w:rPr>
      </w:pPr>
      <w:r w:rsidRPr="00255DE4">
        <w:rPr>
          <w:rFonts w:ascii="Garamond" w:hAnsi="Garamond"/>
          <w:b/>
          <w:noProof/>
          <w:lang w:eastAsia="zh-CN"/>
        </w:rPr>
        <w:t xml:space="preserve">Ufficio </w:t>
      </w:r>
      <w:r>
        <w:rPr>
          <w:rFonts w:ascii="Garamond" w:hAnsi="Garamond"/>
          <w:b/>
          <w:noProof/>
          <w:lang w:eastAsia="zh-CN"/>
        </w:rPr>
        <w:t xml:space="preserve">per le relazioni con la </w:t>
      </w:r>
      <w:r w:rsidRPr="00255DE4">
        <w:rPr>
          <w:rFonts w:ascii="Garamond" w:hAnsi="Garamond"/>
          <w:b/>
          <w:noProof/>
          <w:lang w:eastAsia="zh-CN"/>
        </w:rPr>
        <w:t xml:space="preserve">Stampa </w:t>
      </w:r>
      <w:r>
        <w:rPr>
          <w:rFonts w:ascii="Garamond" w:hAnsi="Garamond"/>
          <w:b/>
          <w:noProof/>
          <w:lang w:eastAsia="zh-CN"/>
        </w:rPr>
        <w:t xml:space="preserve">– </w:t>
      </w:r>
      <w:r w:rsidRPr="00255DE4">
        <w:rPr>
          <w:rFonts w:ascii="Garamond" w:hAnsi="Garamond"/>
          <w:b/>
          <w:noProof/>
          <w:lang w:eastAsia="zh-CN"/>
        </w:rPr>
        <w:t>ParCo</w:t>
      </w:r>
    </w:p>
    <w:p w14:paraId="394033BA" w14:textId="77777777" w:rsidR="00064AB4" w:rsidRPr="00E209F1" w:rsidRDefault="00064AB4" w:rsidP="00064AB4">
      <w:pPr>
        <w:rPr>
          <w:rFonts w:ascii="Garamond" w:hAnsi="Garamond"/>
          <w:noProof/>
          <w:lang w:eastAsia="zh-CN"/>
        </w:rPr>
      </w:pPr>
      <w:r>
        <w:rPr>
          <w:rFonts w:ascii="Garamond" w:hAnsi="Garamond"/>
          <w:b/>
          <w:i/>
          <w:noProof/>
          <w:lang w:eastAsia="zh-CN"/>
        </w:rPr>
        <w:t xml:space="preserve">Federica Rinaldi, </w:t>
      </w:r>
      <w:r w:rsidRPr="00E209F1">
        <w:rPr>
          <w:rFonts w:ascii="Garamond" w:hAnsi="Garamond"/>
          <w:i/>
          <w:noProof/>
          <w:lang w:eastAsia="zh-CN"/>
        </w:rPr>
        <w:t>Francesca Boldrighini</w:t>
      </w:r>
      <w:r>
        <w:rPr>
          <w:rFonts w:ascii="Garamond" w:hAnsi="Garamond"/>
          <w:b/>
          <w:i/>
          <w:noProof/>
          <w:lang w:eastAsia="zh-CN"/>
        </w:rPr>
        <w:t xml:space="preserve"> </w:t>
      </w:r>
    </w:p>
    <w:p w14:paraId="6F0D47C0" w14:textId="77777777" w:rsidR="00064AB4" w:rsidRPr="00255DE4" w:rsidRDefault="00064AB4" w:rsidP="00064AB4">
      <w:pPr>
        <w:rPr>
          <w:rFonts w:ascii="Garamond" w:hAnsi="Garamond"/>
          <w:noProof/>
          <w:lang w:eastAsia="zh-CN"/>
        </w:rPr>
      </w:pPr>
      <w:r w:rsidRPr="00255DE4">
        <w:rPr>
          <w:rFonts w:ascii="Garamond" w:hAnsi="Garamond"/>
          <w:noProof/>
          <w:lang w:eastAsia="zh-CN"/>
        </w:rPr>
        <w:t xml:space="preserve">Tel: 06 699 84 443   </w:t>
      </w:r>
    </w:p>
    <w:p w14:paraId="6B868124" w14:textId="77777777" w:rsidR="00064AB4" w:rsidRPr="008E625C" w:rsidRDefault="00064AB4" w:rsidP="00064AB4">
      <w:pPr>
        <w:rPr>
          <w:rFonts w:ascii="Garamond" w:hAnsi="Garamond"/>
          <w:b/>
          <w:noProof/>
          <w:lang w:eastAsia="zh-CN"/>
        </w:rPr>
      </w:pPr>
      <w:r w:rsidRPr="00255DE4">
        <w:rPr>
          <w:rFonts w:ascii="Garamond" w:hAnsi="Garamond"/>
          <w:b/>
          <w:noProof/>
        </w:rPr>
        <w:drawing>
          <wp:inline distT="0" distB="0" distL="0" distR="0" wp14:anchorId="22152D9A" wp14:editId="21833999">
            <wp:extent cx="63500" cy="114300"/>
            <wp:effectExtent l="0" t="0" r="0" b="0"/>
            <wp:docPr id="4" name="Immagine 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lang w:eastAsia="zh-CN"/>
        </w:rPr>
        <w:t xml:space="preserve"> </w:t>
      </w:r>
      <w:r w:rsidRPr="00255DE4">
        <w:rPr>
          <w:rFonts w:ascii="Garamond" w:hAnsi="Garamond"/>
          <w:b/>
          <w:noProof/>
        </w:rPr>
        <w:drawing>
          <wp:inline distT="0" distB="0" distL="0" distR="0" wp14:anchorId="42457574" wp14:editId="7DB7B8EE">
            <wp:extent cx="152400" cy="114300"/>
            <wp:effectExtent l="0" t="0" r="0" b="0"/>
            <wp:docPr id="6" name="Immagine 6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lang w:eastAsia="zh-CN"/>
        </w:rPr>
        <w:t xml:space="preserve"> </w:t>
      </w:r>
      <w:r w:rsidRPr="00255DE4">
        <w:rPr>
          <w:rFonts w:ascii="Garamond" w:hAnsi="Garamond"/>
          <w:b/>
          <w:noProof/>
        </w:rPr>
        <w:drawing>
          <wp:inline distT="0" distB="0" distL="0" distR="0" wp14:anchorId="0C3E81D8" wp14:editId="5507E6DA">
            <wp:extent cx="114300" cy="114300"/>
            <wp:effectExtent l="0" t="0" r="0" b="0"/>
            <wp:docPr id="7" name="Immagine 7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lang w:eastAsia="zh-CN"/>
        </w:rPr>
        <w:tab/>
        <w:t xml:space="preserve"> @parcocolosseo</w:t>
      </w:r>
    </w:p>
    <w:p w14:paraId="065CB185" w14:textId="2B30198E" w:rsidR="00F074AB" w:rsidRDefault="00F074AB" w:rsidP="00F074AB">
      <w:pPr>
        <w:jc w:val="both"/>
        <w:rPr>
          <w:rFonts w:ascii="Garamond" w:hAnsi="Garamond"/>
          <w:b/>
          <w:noProof/>
          <w:lang w:eastAsia="zh-CN"/>
        </w:rPr>
      </w:pPr>
    </w:p>
    <w:p w14:paraId="2D12DDC9" w14:textId="77777777" w:rsidR="00D513F9" w:rsidRDefault="00D513F9" w:rsidP="00F074AB">
      <w:pPr>
        <w:jc w:val="both"/>
        <w:rPr>
          <w:rFonts w:ascii="Garamond" w:hAnsi="Garamond"/>
          <w:b/>
          <w:noProof/>
          <w:lang w:eastAsia="zh-CN"/>
        </w:rPr>
      </w:pPr>
      <w:r>
        <w:rPr>
          <w:rFonts w:ascii="Garamond" w:hAnsi="Garamond"/>
          <w:b/>
          <w:noProof/>
          <w:lang w:eastAsia="zh-CN"/>
        </w:rPr>
        <w:t>Ufficio stampa Accademia Nazionale dei Lincei (Classe di Scienze Morali e Villa Farnesina)</w:t>
      </w:r>
    </w:p>
    <w:p w14:paraId="47D330C6" w14:textId="2164FC28" w:rsidR="00D513F9" w:rsidRDefault="00783813" w:rsidP="00F074AB">
      <w:pPr>
        <w:jc w:val="both"/>
        <w:rPr>
          <w:rFonts w:ascii="Garamond" w:hAnsi="Garamond"/>
          <w:b/>
          <w:noProof/>
          <w:lang w:eastAsia="zh-CN"/>
        </w:rPr>
      </w:pPr>
      <w:r>
        <w:rPr>
          <w:rFonts w:ascii="Garamond" w:hAnsi="Garamond"/>
          <w:b/>
          <w:noProof/>
          <w:lang w:eastAsia="zh-CN"/>
        </w:rPr>
        <w:t>Barbara Notaro D</w:t>
      </w:r>
      <w:r w:rsidR="00D513F9">
        <w:rPr>
          <w:rFonts w:ascii="Garamond" w:hAnsi="Garamond"/>
          <w:b/>
          <w:noProof/>
          <w:lang w:eastAsia="zh-CN"/>
        </w:rPr>
        <w:t xml:space="preserve">ietrich </w:t>
      </w:r>
    </w:p>
    <w:p w14:paraId="0C030415" w14:textId="77777777" w:rsidR="00D513F9" w:rsidRPr="00D513F9" w:rsidRDefault="00D513F9" w:rsidP="00F074AB">
      <w:pPr>
        <w:jc w:val="both"/>
        <w:rPr>
          <w:rFonts w:ascii="Garamond" w:hAnsi="Garamond"/>
          <w:noProof/>
          <w:lang w:eastAsia="zh-CN"/>
        </w:rPr>
      </w:pPr>
      <w:r w:rsidRPr="00D513F9">
        <w:rPr>
          <w:rFonts w:ascii="Garamond" w:hAnsi="Garamond"/>
          <w:noProof/>
          <w:lang w:eastAsia="zh-CN"/>
        </w:rPr>
        <w:t>Cell 0039 3497946585</w:t>
      </w:r>
    </w:p>
    <w:p w14:paraId="6AC05F89" w14:textId="77777777" w:rsidR="00D513F9" w:rsidRPr="00D513F9" w:rsidRDefault="00D513F9" w:rsidP="00F074AB">
      <w:pPr>
        <w:jc w:val="both"/>
        <w:rPr>
          <w:rFonts w:ascii="Garamond" w:hAnsi="Garamond"/>
          <w:noProof/>
          <w:lang w:eastAsia="zh-CN"/>
        </w:rPr>
      </w:pPr>
      <w:r w:rsidRPr="00D513F9">
        <w:rPr>
          <w:rFonts w:ascii="Garamond" w:hAnsi="Garamond"/>
          <w:noProof/>
          <w:lang w:eastAsia="zh-CN"/>
        </w:rPr>
        <w:t>Mail b.notarodietrich@gmail.com</w:t>
      </w:r>
    </w:p>
    <w:p w14:paraId="19112507" w14:textId="405077A5" w:rsidR="00572EBB" w:rsidRPr="00064AB4" w:rsidRDefault="00572EBB" w:rsidP="00572EBB">
      <w:pPr>
        <w:pStyle w:val="Paragrafoelenco"/>
        <w:numPr>
          <w:ilvl w:val="0"/>
          <w:numId w:val="3"/>
        </w:numPr>
        <w:rPr>
          <w:color w:val="000000"/>
        </w:rPr>
      </w:pPr>
      <w:r w:rsidRPr="00064AB4">
        <w:rPr>
          <w:color w:val="000000"/>
        </w:rPr>
        <w:t>@</w:t>
      </w:r>
      <w:proofErr w:type="spellStart"/>
      <w:r w:rsidRPr="00064AB4">
        <w:rPr>
          <w:color w:val="000000"/>
        </w:rPr>
        <w:t>accademialincei</w:t>
      </w:r>
      <w:proofErr w:type="spellEnd"/>
    </w:p>
    <w:p w14:paraId="277D2F00" w14:textId="7CBE3C4D" w:rsidR="00572EBB" w:rsidRPr="00064AB4" w:rsidRDefault="00572EBB" w:rsidP="00572EBB">
      <w:pPr>
        <w:pStyle w:val="Paragrafoelenco"/>
      </w:pPr>
      <w:r w:rsidRPr="00064AB4">
        <w:rPr>
          <w:rFonts w:ascii="Garamond" w:hAnsi="Garamond"/>
          <w:b/>
          <w:noProof/>
        </w:rPr>
        <w:drawing>
          <wp:inline distT="0" distB="0" distL="0" distR="0" wp14:anchorId="7251784F" wp14:editId="3A815607">
            <wp:extent cx="114300" cy="114300"/>
            <wp:effectExtent l="0" t="0" r="0" b="0"/>
            <wp:docPr id="8" name="Immagine 8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AB4">
        <w:rPr>
          <w:color w:val="000000"/>
        </w:rPr>
        <w:t>@</w:t>
      </w:r>
      <w:proofErr w:type="spellStart"/>
      <w:r w:rsidRPr="00064AB4">
        <w:rPr>
          <w:color w:val="000000"/>
        </w:rPr>
        <w:t>accademianazionaledeilincei</w:t>
      </w:r>
      <w:proofErr w:type="spellEnd"/>
    </w:p>
    <w:sectPr w:rsidR="00572EBB" w:rsidRPr="00064AB4" w:rsidSect="00F074AB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fb" style="width:5.25pt;height:9.75pt;visibility:visible;mso-wrap-style:square" o:bullet="t">
        <v:imagedata r:id="rId1" o:title="fb"/>
      </v:shape>
    </w:pict>
  </w:numPicBullet>
  <w:numPicBullet w:numPicBulletId="1">
    <w:pict>
      <v:shape id="_x0000_i1043" type="#_x0000_t75" alt="ig" style="width:9.75pt;height:9.75pt;visibility:visible;mso-wrap-style:square" o:bullet="t">
        <v:imagedata r:id="rId2" o:title="ig"/>
      </v:shape>
    </w:pict>
  </w:numPicBullet>
  <w:abstractNum w:abstractNumId="0" w15:restartNumberingAfterBreak="0">
    <w:nsid w:val="0A976D89"/>
    <w:multiLevelType w:val="hybridMultilevel"/>
    <w:tmpl w:val="C10EE928"/>
    <w:lvl w:ilvl="0" w:tplc="2FDA2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64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81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CD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4E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83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EA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2D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09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95C6268"/>
    <w:multiLevelType w:val="hybridMultilevel"/>
    <w:tmpl w:val="0DBA0E80"/>
    <w:lvl w:ilvl="0" w:tplc="BA5851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0D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40E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C7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81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0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A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69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8C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2C0A3E"/>
    <w:multiLevelType w:val="hybridMultilevel"/>
    <w:tmpl w:val="3D568722"/>
    <w:lvl w:ilvl="0" w:tplc="9188A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03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C4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F07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84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CA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B6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07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88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D"/>
    <w:rsid w:val="00064AB4"/>
    <w:rsid w:val="0009595E"/>
    <w:rsid w:val="000C0D3C"/>
    <w:rsid w:val="002F590F"/>
    <w:rsid w:val="00372D7A"/>
    <w:rsid w:val="00474870"/>
    <w:rsid w:val="00572EBB"/>
    <w:rsid w:val="00625EC4"/>
    <w:rsid w:val="007225EC"/>
    <w:rsid w:val="0077420D"/>
    <w:rsid w:val="00783813"/>
    <w:rsid w:val="0082505F"/>
    <w:rsid w:val="008A2B4A"/>
    <w:rsid w:val="00D513F9"/>
    <w:rsid w:val="00E44742"/>
    <w:rsid w:val="00F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C95"/>
  <w15:docId w15:val="{E6F24784-9ACE-4793-8337-BC64C06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7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074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F074AB"/>
    <w:rPr>
      <w:b/>
      <w:bCs/>
    </w:rPr>
  </w:style>
  <w:style w:type="paragraph" w:styleId="NormaleWeb">
    <w:name w:val="Normal (Web)"/>
    <w:basedOn w:val="Normale"/>
    <w:uiPriority w:val="99"/>
    <w:unhideWhenUsed/>
    <w:rsid w:val="00F074A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3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2E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e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cocolosseo.it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6.png"/><Relationship Id="rId5" Type="http://schemas.openxmlformats.org/officeDocument/2006/relationships/image" Target="media/image3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villafarnesina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Boldrighini Francesca</dc:creator>
  <cp:keywords/>
  <dc:description/>
  <cp:lastModifiedBy>Boldrighini Francesca</cp:lastModifiedBy>
  <cp:revision>2</cp:revision>
  <dcterms:created xsi:type="dcterms:W3CDTF">2021-06-04T09:43:00Z</dcterms:created>
  <dcterms:modified xsi:type="dcterms:W3CDTF">2021-06-04T09:43:00Z</dcterms:modified>
</cp:coreProperties>
</file>